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306"/>
          <w:tab w:val="left" w:pos="7938" w:leader="none"/>
        </w:tabs>
        <w:spacing w:lineRule="auto" w:line="240"/>
        <w:jc w:val="center"/>
        <w:rPr/>
      </w:pPr>
      <w:r>
        <w:rPr>
          <w:rFonts w:eastAsia="Calibri" w:cs="Calibri" w:ascii="Calibri" w:hAnsi="Calibri"/>
          <w:b/>
          <w:spacing w:val="30"/>
          <w:sz w:val="20"/>
          <w:szCs w:val="20"/>
          <w:lang w:eastAsia="en-US"/>
        </w:rPr>
        <w:t xml:space="preserve">SYLABUS </w:t>
      </w:r>
    </w:p>
    <w:p>
      <w:pPr>
        <w:pStyle w:val="Normal"/>
        <w:spacing w:lineRule="auto" w:line="240"/>
        <w:jc w:val="center"/>
        <w:rPr>
          <w:rFonts w:ascii="Calibri" w:hAnsi="Calibri" w:eastAsia="Calibri" w:cs="Calibri"/>
          <w:b/>
          <w:b/>
          <w:sz w:val="20"/>
          <w:szCs w:val="20"/>
          <w:lang w:eastAsia="en-US"/>
        </w:rPr>
      </w:pPr>
      <w:r>
        <w:rPr>
          <w:rFonts w:eastAsia="Calibri" w:cs="Calibri" w:ascii="Calibri" w:hAnsi="Calibri"/>
          <w:b/>
          <w:sz w:val="20"/>
          <w:szCs w:val="20"/>
          <w:lang w:eastAsia="en-US"/>
        </w:rPr>
      </w:r>
    </w:p>
    <w:tbl>
      <w:tblPr>
        <w:tblW w:w="10408" w:type="dxa"/>
        <w:jc w:val="left"/>
        <w:tblInd w:w="216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2"/>
        <w:gridCol w:w="362"/>
        <w:gridCol w:w="141"/>
        <w:gridCol w:w="994"/>
        <w:gridCol w:w="83"/>
        <w:gridCol w:w="25"/>
        <w:gridCol w:w="738"/>
        <w:gridCol w:w="49"/>
        <w:gridCol w:w="790"/>
        <w:gridCol w:w="155"/>
        <w:gridCol w:w="567"/>
        <w:gridCol w:w="66"/>
        <w:gridCol w:w="501"/>
        <w:gridCol w:w="285"/>
        <w:gridCol w:w="67"/>
        <w:gridCol w:w="214"/>
        <w:gridCol w:w="436"/>
        <w:gridCol w:w="131"/>
        <w:gridCol w:w="423"/>
        <w:gridCol w:w="144"/>
        <w:gridCol w:w="571"/>
        <w:gridCol w:w="103"/>
        <w:gridCol w:w="28"/>
        <w:gridCol w:w="52"/>
        <w:gridCol w:w="384"/>
        <w:gridCol w:w="552"/>
        <w:gridCol w:w="782"/>
        <w:gridCol w:w="1142"/>
      </w:tblGrid>
      <w:tr>
        <w:trPr>
          <w:trHeight w:val="397" w:hRule="atLeast"/>
        </w:trPr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16"/>
                <w:szCs w:val="16"/>
                <w:lang w:eastAsia="en-US"/>
              </w:rPr>
              <w:t>Kod przedmiotu</w:t>
            </w:r>
          </w:p>
        </w:tc>
        <w:tc>
          <w:tcPr>
            <w:tcW w:w="198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ind w:left="-113" w:right="-178" w:hanging="0"/>
              <w:rPr/>
            </w:pPr>
            <w:r>
              <w:rPr>
                <w:rFonts w:eastAsia="Calibri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20"/>
                <w:u w:val="none"/>
                <w:em w:val="none"/>
                <w:lang w:eastAsia="en-US"/>
              </w:rPr>
              <w:t>04.5_Z1PN_Bppra0319</w:t>
            </w:r>
          </w:p>
          <w:p>
            <w:pPr>
              <w:pStyle w:val="Normal"/>
              <w:snapToGrid w:val="false"/>
              <w:spacing w:lineRule="auto" w:line="240"/>
              <w:ind w:left="-113" w:right="-178" w:hanging="0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/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Prawo pracy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Prawo pracy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Nazwa przedmiotu w języku angielskim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306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false"/>
              <w:snapToGrid w:val="false"/>
              <w:spacing w:lineRule="auto" w:line="360"/>
              <w:textAlignment w:val="auto"/>
              <w:rPr>
                <w:rFonts w:ascii="Calibri" w:hAnsi="Calibri" w:eastAsia="Calibri" w:cs="Calibri"/>
                <w:sz w:val="20"/>
                <w:szCs w:val="20"/>
                <w:lang w:val="en-US"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Labour law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Wydział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val="en-US"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Ekonomii i Zarządzania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Zarządzanie i coaching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Nietacjonarne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I stopień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Profil kształcenia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Praktyczny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Kierunkowy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Przedmioty do wyboru w zakresie: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Coaching menedżerski, Zarządzanie zasobami ludzkimi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Dr Żaneta Grygiel-Kaleta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Dr Żaneta Grygiel-Kaleta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W </w:t>
            </w:r>
          </w:p>
        </w:tc>
        <w:tc>
          <w:tcPr>
            <w:tcW w:w="58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Zajęcia kształtujące umiejętności praktyczne (ZKUP) </w:t>
            </w:r>
          </w:p>
        </w:tc>
      </w:tr>
      <w:tr>
        <w:trPr>
          <w:trHeight w:val="288" w:hRule="atLeast"/>
        </w:trPr>
        <w:tc>
          <w:tcPr>
            <w:tcW w:w="3959" w:type="dxa"/>
            <w:gridSpan w:val="10"/>
            <w:vMerge w:val="continue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vertAlign w:val="superscript"/>
                <w:lang w:eastAsia="en-US"/>
              </w:rPr>
            </w:r>
          </w:p>
        </w:tc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vertAlign w:val="superscript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ZP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Wa 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3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53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Liczba godzin zajęć w semestrze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2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61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Legenda: W – wykład, Ć – ćwiczenia, K- konwersatorium, L – laboratorium, ZP – zajęcia praktyczne,</w:t>
            </w:r>
            <w:r>
              <w:rPr/>
              <w:t xml:space="preserve"> 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Wa – warsztaty,   Pr – praktyka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Semestr(y) zajęć dla kierunku kształcenia</w:t>
            </w:r>
          </w:p>
        </w:tc>
        <w:tc>
          <w:tcPr>
            <w:tcW w:w="24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IV</w:t>
            </w:r>
          </w:p>
        </w:tc>
        <w:tc>
          <w:tcPr>
            <w:tcW w:w="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3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4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Obowiązkowy</w:t>
            </w:r>
          </w:p>
        </w:tc>
        <w:tc>
          <w:tcPr>
            <w:tcW w:w="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polski</w:t>
            </w:r>
          </w:p>
        </w:tc>
      </w:tr>
      <w:tr>
        <w:trPr>
          <w:trHeight w:val="361" w:hRule="atLeast"/>
        </w:trPr>
        <w:tc>
          <w:tcPr>
            <w:tcW w:w="29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44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jc w:val="both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Brak</w:t>
            </w:r>
          </w:p>
        </w:tc>
      </w:tr>
      <w:tr>
        <w:trPr>
          <w:trHeight w:val="288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Cele uczenia się</w:t>
            </w:r>
          </w:p>
          <w:p>
            <w:pPr>
              <w:pStyle w:val="Normal"/>
              <w:rPr>
                <w:rFonts w:ascii="Verdana" w:hAnsi="Verdana" w:eastAsia="Calibri" w:cs="Verdana"/>
                <w:i/>
                <w:i/>
                <w:iCs/>
                <w:sz w:val="16"/>
                <w:szCs w:val="20"/>
                <w:lang w:eastAsia="en-US"/>
              </w:rPr>
            </w:pPr>
            <w:r>
              <w:rPr>
                <w:rFonts w:eastAsia="Calibri" w:ascii="Calibri" w:hAnsi="Calibri"/>
                <w:bCs/>
                <w:sz w:val="20"/>
                <w:szCs w:val="20"/>
                <w:lang w:eastAsia="en-US"/>
              </w:rPr>
              <w:t>Celem kształcenia w ramach przedmiotu pn. Prawo pracy jest zapoznanie studentów z zagadnieniami z zakresu prawa pracy. Istotą kształcenia jest zdobycie wiedzy przez studentów, pozwalającej im na zrozumienie istoty wyodrębnienia gałęzi prawa pracy z norm prawa prywatnego, a także pozyskanie wiedzy na temat stosunku pracy, jego cech charakterystycznych. Student nabywa umiejętności praktycznych - po zakończonym kursie umie odróżnić stosunek prawnopracowniczy od innych stosunków zatrudnienia, sporządzić akta osobowe pracownika. W trakcie wykładu podejmowane są zarówno zagadnienia z zakresu części ogólnej prawa pracy, indywidualnego prawa pracy, zbiorowego prawa pracy. Zajęcia mają wykształcić w studentach umiejętność sporządzania podstawowych aktów z zakresu prawa pracy, jak i rozwiązywania zagadnień i problemów prawnych z tej dziedziny.</w:t>
            </w:r>
          </w:p>
        </w:tc>
      </w:tr>
      <w:tr>
        <w:trPr>
          <w:trHeight w:val="288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Metody dydaktyczne stosowane w celu osiągnięcia zakładanych efektów uczenia się </w:t>
            </w:r>
            <w:r>
              <w:rPr>
                <w:rFonts w:eastAsia="Calibri" w:cs="Calibri" w:ascii="Calibri" w:hAnsi="Calibri"/>
                <w:bCs/>
                <w:sz w:val="20"/>
                <w:szCs w:val="20"/>
                <w:lang w:eastAsia="en-US"/>
              </w:rPr>
              <w:t xml:space="preserve">podające (wykład, opowiadanie, opis), programowe (przy użyciu książki, komputera), problemowe (wykład problemowy), dyskusja, </w:t>
            </w:r>
          </w:p>
          <w:p>
            <w:pPr>
              <w:pStyle w:val="Normal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Batang" w:cs="Calibri" w:ascii="Calibri" w:hAnsi="Calibri"/>
                <w:b/>
                <w:sz w:val="20"/>
                <w:szCs w:val="20"/>
              </w:rPr>
              <w:t>Opis efektów uczenia się</w:t>
            </w: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 dla przedmiotu</w:t>
            </w:r>
          </w:p>
        </w:tc>
      </w:tr>
      <w:tr>
        <w:trPr>
          <w:trHeight w:val="558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6"/>
                <w:szCs w:val="16"/>
              </w:rPr>
              <w:t>Symbole kierunkowych efektów uczenia się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6"/>
                <w:szCs w:val="16"/>
              </w:rPr>
              <w:t>Efekt uczenia się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8"/>
                <w:szCs w:val="18"/>
              </w:rPr>
              <w:t>Student, który zaliczył przedmiot</w:t>
              <w:br/>
              <w:t>zna i rozumie, potrafi i jest gotów: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8"/>
                <w:szCs w:val="18"/>
              </w:rPr>
              <w:t>SYMBOL (odniesienie kierunkowych efektów uczenia się do charakterystyk drugiego stopnia dla: poziomu 6 Polskiej Ramy Kwalifikacji)*</w:t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WIEDZA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/>
                <w:kern w:val="0"/>
                <w:sz w:val="20"/>
                <w:szCs w:val="20"/>
                <w:lang w:eastAsia="pl-PL"/>
              </w:rPr>
              <w:t>K_W07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Identyfikuje podstawowe instytucje prawa pracy, takie jak stosunek pracy, prawa i obowiązki stron, czas pracy, wynagrodzenie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P6S_WK </w:t>
            </w:r>
          </w:p>
          <w:p>
            <w:pPr>
              <w:pStyle w:val="Normal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15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/>
                <w:kern w:val="0"/>
                <w:sz w:val="20"/>
                <w:szCs w:val="20"/>
                <w:lang w:eastAsia="pl-PL"/>
              </w:rPr>
              <w:t>K_W07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highlight w:val="white"/>
                <w:lang w:eastAsia="pl-PL"/>
              </w:rPr>
              <w:t xml:space="preserve">Zna najistotniejsze regulacje prawa pracy dotyczące nawiązywania i rozwiązywania stosunku pracy 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P6S_WK </w:t>
            </w:r>
          </w:p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15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/>
                <w:kern w:val="0"/>
                <w:sz w:val="20"/>
                <w:szCs w:val="20"/>
                <w:lang w:eastAsia="pl-PL"/>
              </w:rPr>
              <w:t>K_W07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highlight w:val="white"/>
                <w:lang w:eastAsia="pl-PL"/>
              </w:rPr>
              <w:t>Posiada wiedzę w zakresie regulacji prawnych w prawie pracy w innych państwach UE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P6S_WK </w:t>
            </w:r>
          </w:p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 xml:space="preserve">UMIEJĘTNOŚCI 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U1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K_U05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Web"/>
              <w:snapToGrid w:val="false"/>
              <w:spacing w:before="100" w:after="10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Dokonuje wykładni przepisów prawa pracy oraz formułuje własne opinie w kwestiach spornych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P6S_UW </w:t>
            </w:r>
          </w:p>
          <w:p>
            <w:pPr>
              <w:pStyle w:val="NormalWeb"/>
              <w:snapToGrid w:val="false"/>
              <w:spacing w:before="100" w:after="10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P6S_UO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U2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lineRule="auto" w:line="276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K_U09</w:t>
            </w:r>
          </w:p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K_U10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formułuje pisemne i ustne wypowiedzi w zakresie problematyki prawa pracy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P6S_UK </w:t>
            </w:r>
          </w:p>
          <w:p>
            <w:pPr>
              <w:pStyle w:val="Normal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FF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U3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lineRule="auto" w:line="276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K_U05</w:t>
            </w:r>
          </w:p>
          <w:p>
            <w:pPr>
              <w:pStyle w:val="Normal"/>
              <w:widowControl/>
              <w:suppressAutoHyphens w:val="false"/>
              <w:spacing w:lineRule="auto" w:line="276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K_U07</w:t>
            </w:r>
          </w:p>
          <w:p>
            <w:pPr>
              <w:pStyle w:val="Normal"/>
              <w:widowControl/>
              <w:suppressAutoHyphens w:val="false"/>
              <w:spacing w:lineRule="auto" w:line="276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K_U08</w:t>
            </w:r>
          </w:p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Umie określić rodzaj aktu prawnego odnosząc go do analizowanego zdarzenia lub sytuacji w stosunkach pracy oraz prawidłowo zastosować przepisy prawa pracy do analizy i oceny konkretnego zdarzenia lub sytuacji w stosunkach pracy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P6S_UW </w:t>
            </w:r>
          </w:p>
          <w:p>
            <w:pPr>
              <w:pStyle w:val="Normal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FF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FF0000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KOMPETENCJE SPOŁECZNE</w:t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K_K04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student rozumie wzajemne prawa i obowiązki pracodawców i pracowników, a także funkcjonalne powiązanie tych podmiotów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P6S_KR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jc w:val="both"/>
              <w:textAlignment w:val="auto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color w:val="000000"/>
                <w:kern w:val="0"/>
                <w:sz w:val="20"/>
                <w:szCs w:val="20"/>
                <w:lang w:eastAsia="pl-PL" w:bidi="ar-SA"/>
              </w:rPr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K_K01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Web"/>
              <w:snapToGrid w:val="false"/>
              <w:spacing w:before="100" w:after="64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student posiada zdolność uzupełniania zdobytej wiedzy we własnym zakresie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P6S_KK</w:t>
            </w:r>
          </w:p>
          <w:p>
            <w:pPr>
              <w:pStyle w:val="NormalWeb"/>
              <w:snapToGrid w:val="false"/>
              <w:spacing w:before="100" w:after="64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lineRule="auto" w:line="276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K_K02</w:t>
            </w:r>
          </w:p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K_K05</w:t>
            </w:r>
          </w:p>
        </w:tc>
        <w:tc>
          <w:tcPr>
            <w:tcW w:w="32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Web"/>
              <w:snapToGrid w:val="false"/>
              <w:spacing w:before="100" w:after="64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student potrafi pracować w grupie nad rozwiązaniem przedstawionego problemu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P6S_KO</w:t>
            </w:r>
          </w:p>
          <w:p>
            <w:pPr>
              <w:pStyle w:val="NormalWeb"/>
              <w:snapToGrid w:val="false"/>
              <w:spacing w:before="100" w:after="64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Batang" w:cs="Calibri" w:ascii="Calibri" w:hAnsi="Calibri"/>
                <w:b/>
                <w:sz w:val="20"/>
                <w:szCs w:val="20"/>
              </w:rPr>
              <w:t>Metody weryfikacji efektów uczenia się</w:t>
            </w: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>
        <w:trPr>
          <w:trHeight w:val="1784" w:hRule="atLeast"/>
          <w:cantSplit w:val="true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>
                <w:rFonts w:cs="Calibri" w:ascii="Calibri" w:hAnsi="Calibri"/>
                <w:b/>
                <w:sz w:val="20"/>
                <w:szCs w:val="20"/>
              </w:rPr>
              <w:t>Efekt uczenia się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Egzamin ustny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Cząstkowa praca pisemna</w:t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Końcowa  praca pisemna (np. esej)</w:t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Kolokwium</w:t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Prezentacja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Sprawozdanie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Aktywność na zajęciach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inne ...</w:t>
            </w:r>
          </w:p>
        </w:tc>
      </w:tr>
      <w:tr>
        <w:trPr>
          <w:trHeight w:val="339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WIEDZA</w:t>
            </w:r>
          </w:p>
        </w:tc>
      </w:tr>
      <w:tr>
        <w:trPr>
          <w:trHeight w:val="339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57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ascii="Calibri" w:hAnsi="Calibri"/>
                <w:sz w:val="20"/>
                <w:szCs w:val="20"/>
              </w:rPr>
              <w:t>UMIEJĘTNOŚCI</w:t>
            </w:r>
          </w:p>
        </w:tc>
      </w:tr>
      <w:tr>
        <w:trPr>
          <w:trHeight w:val="257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/>
            </w:pPr>
            <w:r>
              <w:rPr/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K1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K2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K3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Kryteria oceniania kompetencji studenta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 - WIEDZA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– Student zapamiętuje i odtwarza wiedzę przewidzianą do opanowania w ramach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– Student dodatkowo interpretuje zjawiska/problemy i potrafi rozwiązać typowy problem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 - UMIEJĘTNOŚCI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– Student orientuje się w charakterze czynności, potrafi pod kierunkiem nauczyciela akademickiego wykonać czynności/rozwiązać problemy dotyczące treści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 – Student potrafi samodzielnie wykonać czynności/zadania/rozwiązać typowe problemy dotyczące treści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 Student posiada w pełni opanowaną umiejętność/zdolność wykonania przewidzianych w treściach przedmiotu czynności/zadań/problemów także w bardziej złożonych przypadkach.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 - KOMPETENCJE SPOŁECZNE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 – Student biernie przyswaja treści przedmiotu z wykazaniem zdolności do koncentracji uwagi i słuchania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 – Student aktywnie uczestniczy w zajęciach, dokonuje ocen wartościujących według kryteriów przyjętych w danej dziedzinie, potrafi aktywnie współdziałać w obrębie grupy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>
        <w:trPr>
          <w:trHeight w:val="397" w:hRule="atLeast"/>
        </w:trPr>
        <w:tc>
          <w:tcPr>
            <w:tcW w:w="754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Treść przedmiotu uczenia się (program wykładów i pozostałych zajęć)</w:t>
            </w:r>
          </w:p>
        </w:tc>
        <w:tc>
          <w:tcPr>
            <w:tcW w:w="2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</w:tr>
      <w:tr>
        <w:trPr>
          <w:trHeight w:val="1550" w:hRule="atLeast"/>
        </w:trPr>
        <w:tc>
          <w:tcPr>
            <w:tcW w:w="754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bookmarkStart w:id="0" w:name="maindiv"/>
            <w:bookmarkEnd w:id="0"/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Pojęcie i przedmiot prawa pracy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Funkcje i zasady prawa pracy.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Źródła prawa pracy.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Stosunek pracy – cechy charakterystyczne.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Nawiązanie stosunku pracy.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 xml:space="preserve">Rozwiązanie stosunku pracy. 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Powszechna i szczególna ochrona trwałości stosunku pracy.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Prawa i obowiązki stron stosunku pracy.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Odpowiedzialność porządkowa i dyscyplinarna pracowników.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76"/>
              <w:ind w:left="360" w:right="425" w:hanging="36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highlight w:val="white"/>
                <w:lang w:eastAsia="pl-PL"/>
              </w:rPr>
              <w:t>Ochrona pracy.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76"/>
              <w:ind w:left="360" w:right="425" w:hanging="36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Zasada wolności zrzeszania się w związkach zawodowych.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76"/>
              <w:ind w:left="360" w:right="425" w:hanging="360"/>
              <w:textAlignment w:val="auto"/>
              <w:rPr>
                <w:rFonts w:ascii="Calibri" w:hAnsi="Calibri" w:eastAsia="Times New Roman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Prawo do strajku.</w:t>
            </w:r>
          </w:p>
        </w:tc>
        <w:tc>
          <w:tcPr>
            <w:tcW w:w="2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K1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K1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W2, K2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W2, K2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W1,U1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K1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U1, U3, K3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U1, U3, K3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U1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W1,U2, K2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U3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Calibri" w:cs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W3, U2, K2, K3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>
        <w:trPr>
          <w:trHeight w:val="2220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/>
              <w:numPr>
                <w:ilvl w:val="0"/>
                <w:numId w:val="0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Verdana" w:hAnsi="Verdana" w:eastAsia="Times New Roman" w:cs="Aharoni"/>
                <w:b/>
                <w:b/>
                <w:kern w:val="0"/>
                <w:sz w:val="16"/>
                <w:lang w:eastAsia="pl-PL" w:bidi="ar-SA"/>
              </w:rPr>
            </w:pPr>
            <w:r>
              <w:rPr>
                <w:rFonts w:eastAsia="Times New Roman" w:cs="Aharoni" w:ascii="Verdana" w:hAnsi="Verdana"/>
                <w:b/>
                <w:kern w:val="0"/>
                <w:sz w:val="16"/>
                <w:lang w:eastAsia="pl-PL" w:bidi="ar-SA"/>
              </w:rPr>
              <w:t>Literatura podstawowa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2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Verdana" w:hAnsi="Verdana" w:eastAsia="Times New Roman" w:cs="Aharoni"/>
                <w:kern w:val="0"/>
                <w:sz w:val="16"/>
                <w:lang w:eastAsia="pl-PL" w:bidi="ar-SA"/>
              </w:rPr>
            </w:pPr>
            <w:r>
              <w:rPr>
                <w:rFonts w:eastAsia="Times New Roman" w:cs="Aharoni" w:ascii="Verdana" w:hAnsi="Verdana"/>
                <w:kern w:val="0"/>
                <w:sz w:val="16"/>
                <w:lang w:eastAsia="pl-PL" w:bidi="ar-SA"/>
              </w:rPr>
              <w:t>L. Florek, „Prawo pracy,” wyd. CH BECK, Warszawa 2019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0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Verdana" w:hAnsi="Verdana" w:eastAsia="Times New Roman" w:cs="Aharoni"/>
                <w:b/>
                <w:b/>
                <w:kern w:val="0"/>
                <w:sz w:val="16"/>
                <w:lang w:eastAsia="pl-PL" w:bidi="ar-SA"/>
              </w:rPr>
            </w:pPr>
            <w:r>
              <w:rPr>
                <w:rFonts w:eastAsia="Times New Roman" w:cs="Aharoni" w:ascii="Verdana" w:hAnsi="Verdana"/>
                <w:b/>
                <w:kern w:val="0"/>
                <w:sz w:val="16"/>
                <w:lang w:eastAsia="pl-PL" w:bidi="ar-SA"/>
              </w:rPr>
              <w:t>Literatura uzupełniająca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2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Calibri" w:hAnsi="Calibri" w:eastAsia="Batang" w:cs="NimbusRomNo9L-Regu"/>
                <w:color w:val="000000"/>
                <w:sz w:val="20"/>
                <w:szCs w:val="20"/>
                <w:lang w:eastAsia="ko-KR" w:bidi="he-IL"/>
              </w:rPr>
            </w:pPr>
            <w:r>
              <w:rPr>
                <w:rFonts w:eastAsia="Batang" w:cs="NimbusRomNo9L-Regu" w:ascii="Calibri" w:hAnsi="Calibri"/>
                <w:color w:val="000000"/>
                <w:sz w:val="20"/>
                <w:szCs w:val="20"/>
                <w:lang w:eastAsia="ko-KR" w:bidi="he-IL"/>
              </w:rPr>
              <w:t>J. Stelina, „Prawo pracy,” wyd. CH BECK, Warszawa 2018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2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Calibri" w:hAnsi="Calibri" w:eastAsia="Batang" w:cs="NimbusRomNo9L-Regu"/>
                <w:color w:val="000000"/>
                <w:sz w:val="20"/>
                <w:szCs w:val="20"/>
                <w:lang w:eastAsia="ko-KR" w:bidi="he-IL"/>
              </w:rPr>
            </w:pPr>
            <w:r>
              <w:rPr>
                <w:rFonts w:eastAsia="Batang" w:cs="NimbusRomNo9L-Regu" w:ascii="Calibri" w:hAnsi="Calibri"/>
                <w:color w:val="000000"/>
                <w:sz w:val="20"/>
                <w:szCs w:val="20"/>
                <w:lang w:eastAsia="ko-KR" w:bidi="he-IL"/>
              </w:rPr>
              <w:t>T. Liszcz, „Prawo pracy,” wyd. Wolters Kluwer, Warszawa 2019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2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Calibri" w:hAnsi="Calibri" w:eastAsia="Batang" w:cs="NimbusRomNo9L-Regu"/>
                <w:color w:val="000000"/>
                <w:sz w:val="20"/>
                <w:szCs w:val="20"/>
                <w:lang w:eastAsia="ko-KR" w:bidi="he-IL"/>
              </w:rPr>
            </w:pPr>
            <w:r>
              <w:rPr>
                <w:rFonts w:eastAsia="Batang" w:cs="NimbusRomNo9L-Regu" w:ascii="Calibri" w:hAnsi="Calibri"/>
                <w:color w:val="000000"/>
                <w:sz w:val="20"/>
                <w:szCs w:val="20"/>
                <w:lang w:eastAsia="ko-KR" w:bidi="he-IL"/>
              </w:rPr>
              <w:t>Red. K.W.Baran, „Prawo pracy i ubezpieczeń społecznych,” wyd. CH BECK, Warszawa 2019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2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Calibri" w:hAnsi="Calibri" w:eastAsia="Batang" w:cs="NimbusRomNo9L-Regu"/>
                <w:color w:val="000000"/>
                <w:sz w:val="20"/>
                <w:szCs w:val="20"/>
                <w:lang w:eastAsia="ko-KR" w:bidi="he-IL"/>
              </w:rPr>
            </w:pPr>
            <w:r>
              <w:rPr>
                <w:rFonts w:eastAsia="Batang" w:cs="NimbusRomNo9L-Regu" w:ascii="Calibri" w:hAnsi="Calibri"/>
                <w:color w:val="000000"/>
                <w:sz w:val="20"/>
                <w:szCs w:val="20"/>
                <w:lang w:eastAsia="ko-KR" w:bidi="he-IL"/>
              </w:rPr>
              <w:t>J. Stelina, „Prawo urzędnicze,” wyd. CH BECK, Warszawa 2017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miesięcznik Praca i Zabezpieczenie Społeczne,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miesięcznik Państwo i Prawo,</w:t>
            </w:r>
          </w:p>
          <w:p>
            <w:pPr>
              <w:pStyle w:val="Normal"/>
              <w:keepNext w:val="true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Calibri" w:hAnsi="Calibri" w:eastAsia="Batang" w:cs="Calibri"/>
                <w:b/>
                <w:b/>
                <w:color w:val="000000"/>
                <w:kern w:val="0"/>
                <w:sz w:val="20"/>
                <w:szCs w:val="20"/>
                <w:lang w:eastAsia="ko-KR" w:bidi="he-IL"/>
              </w:rPr>
            </w:pPr>
            <w:r>
              <w:rPr>
                <w:rFonts w:eastAsia="Batang" w:cs="Calibri" w:ascii="Calibri" w:hAnsi="Calibri"/>
                <w:b/>
                <w:color w:val="000000"/>
                <w:kern w:val="0"/>
                <w:sz w:val="20"/>
                <w:szCs w:val="20"/>
                <w:lang w:eastAsia="ko-KR" w:bidi="he-IL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nakładu pracy studenta</w:t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</w:tr>
      <w:tr>
        <w:trPr>
          <w:trHeight w:val="323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Przypisdolny"/>
              <w:keepNext w:val="false"/>
              <w:widowControl w:val="false"/>
              <w:suppressAutoHyphens w:val="true"/>
              <w:snapToGrid w:val="false"/>
              <w:spacing w:lineRule="auto" w:line="240"/>
              <w:textAlignment w:val="baseline"/>
              <w:rPr/>
            </w:pPr>
            <w:r>
              <w:rPr>
                <w:rFonts w:eastAsia="Calibri" w:cs="Calibri" w:ascii="Calibri" w:hAnsi="Calibri"/>
                <w:lang w:eastAsia="en-US"/>
              </w:rPr>
              <w:t>Udział w wykładach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15</w:t>
            </w:r>
          </w:p>
        </w:tc>
      </w:tr>
      <w:tr>
        <w:trPr>
          <w:trHeight w:val="271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8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6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8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</w:t>
            </w:r>
          </w:p>
        </w:tc>
      </w:tr>
      <w:tr>
        <w:trPr>
          <w:trHeight w:val="13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</w:t>
            </w:r>
          </w:p>
        </w:tc>
      </w:tr>
      <w:tr>
        <w:trPr>
          <w:trHeight w:val="29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19</w:t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0,</w:t>
            </w: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8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</w:tr>
      <w:tr>
        <w:trPr>
          <w:trHeight w:val="19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8</w:t>
            </w:r>
          </w:p>
        </w:tc>
      </w:tr>
      <w:tr>
        <w:trPr>
          <w:trHeight w:val="27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18</w:t>
            </w:r>
          </w:p>
        </w:tc>
      </w:tr>
      <w:tr>
        <w:trPr>
          <w:trHeight w:val="110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141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30</w:t>
            </w:r>
          </w:p>
        </w:tc>
      </w:tr>
      <w:tr>
        <w:trPr>
          <w:trHeight w:val="173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0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56</w:t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Liczba punktów ECTS, uzyskiwanych przez studenta w ramach samodzielnej pracy </w:t>
            </w:r>
            <w:r>
              <w:rPr>
                <w:rStyle w:val="Domylnaczcionkaakapitu1"/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2,2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75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right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3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Nakład pracy związany z zajęciami o charakterze kształtującym umiejętności praktyczne, w tym: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Zajęcia praktyczne (Wydział Nauk Medycznych)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color w:val="FF0000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>
        <w:trPr>
          <w:trHeight w:val="221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22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8205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</w:tbl>
    <w:p>
      <w:pPr>
        <w:pStyle w:val="Normal"/>
        <w:spacing w:lineRule="auto" w:line="240"/>
        <w:rPr>
          <w:rFonts w:ascii="Calibri" w:hAnsi="Calibri" w:eastAsia="Calibri" w:cs="Calibri"/>
          <w:sz w:val="20"/>
          <w:szCs w:val="20"/>
          <w:lang w:eastAsia="en-US"/>
        </w:rPr>
      </w:pPr>
      <w:r>
        <w:rPr>
          <w:rFonts w:eastAsia="Calibri" w:cs="Calibri" w:ascii="Calibri" w:hAnsi="Calibri"/>
          <w:sz w:val="20"/>
          <w:szCs w:val="20"/>
          <w:lang w:eastAsia="en-US"/>
        </w:rPr>
      </w:r>
    </w:p>
    <w:p>
      <w:pPr>
        <w:pStyle w:val="Normal"/>
        <w:spacing w:lineRule="auto" w:line="240"/>
        <w:rPr/>
      </w:pPr>
      <w:r>
        <w:rPr>
          <w:rFonts w:eastAsia="Calibri" w:cs="Times New Roman"/>
          <w:sz w:val="20"/>
          <w:szCs w:val="20"/>
          <w:lang w:eastAsia="en-US"/>
        </w:rPr>
        <w:t>*</w:t>
      </w:r>
      <w:r>
        <w:rPr>
          <w:rFonts w:cs="Times New Roman"/>
        </w:rPr>
        <w:t xml:space="preserve"> </w:t>
      </w:r>
      <w:r>
        <w:rPr>
          <w:rFonts w:eastAsia="Calibri" w:cs="Times New Roman"/>
          <w:sz w:val="20"/>
          <w:szCs w:val="20"/>
          <w:lang w:eastAsia="en-US"/>
        </w:rPr>
        <w:t xml:space="preserve">odniesienie kierunkowych efektów uczenia się zgodnych z Ustawą z dnia 22 grudnia 2015 roku </w:t>
      </w:r>
      <w:r>
        <w:rPr>
          <w:rFonts w:eastAsia="Calibri" w:cs="Times New Roman"/>
          <w:i/>
          <w:sz w:val="20"/>
          <w:szCs w:val="20"/>
          <w:lang w:eastAsia="en-US"/>
        </w:rPr>
        <w:t>o Zintegrowanym Systemie Kwalifikacj</w:t>
      </w:r>
      <w:r>
        <w:rPr>
          <w:rFonts w:eastAsia="Calibri" w:cs="Times New Roman"/>
          <w:sz w:val="20"/>
          <w:szCs w:val="20"/>
          <w:lang w:eastAsia="en-US"/>
        </w:rPr>
        <w:t xml:space="preserve">i, t.j. Dz. U. 2018, poz. 2153 oraz z Rozporządzeniem Ministra Nauki i Szkolnictwa Wyższego z dnia 14 listopada 2018 roku </w:t>
      </w:r>
      <w:r>
        <w:rPr>
          <w:rFonts w:eastAsia="Calibri" w:cs="Times New Roman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>
        <w:rPr>
          <w:rFonts w:eastAsia="Calibri" w:cs="Times New Roman"/>
          <w:sz w:val="20"/>
          <w:szCs w:val="20"/>
          <w:lang w:eastAsia="en-US"/>
        </w:rPr>
        <w:t>, Dz. U. 2018, poz. 2218.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851" w:footer="0" w:bottom="851" w:gutter="0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Verdan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59"/>
  <w:defaultTabStop w:val="306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b5cf1"/>
    <w:pPr>
      <w:widowControl w:val="false"/>
      <w:suppressAutoHyphens w:val="true"/>
      <w:bidi w:val="0"/>
      <w:spacing w:lineRule="atLeast" w:line="100"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eastAsia="zh-CN" w:bidi="hi-IN" w:val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omylnaczcionkaakapitu1" w:customStyle="1">
    <w:name w:val="Domyślna czcionka akapitu1"/>
    <w:qFormat/>
    <w:rsid w:val="004b5cf1"/>
    <w:rPr/>
  </w:style>
  <w:style w:type="character" w:styleId="TekstprzypisudolnegoZnak" w:customStyle="1">
    <w:name w:val="Tekst przypisu dolnego Znak"/>
    <w:basedOn w:val="DefaultParagraphFont"/>
    <w:link w:val="Tekstprzypisudolnego"/>
    <w:qFormat/>
    <w:rsid w:val="004b5cf1"/>
    <w:rPr>
      <w:rFonts w:ascii="Times New Roman" w:hAnsi="Times New Roman" w:eastAsia="Times New Roman" w:cs="Times New Roman"/>
      <w:kern w:val="2"/>
      <w:sz w:val="20"/>
      <w:szCs w:val="20"/>
      <w:lang w:eastAsia="zh-C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Zawartotabeli" w:customStyle="1">
    <w:name w:val="Zawartość tabeli"/>
    <w:basedOn w:val="Normal"/>
    <w:qFormat/>
    <w:rsid w:val="004b5cf1"/>
    <w:pPr>
      <w:suppressLineNumbers/>
    </w:pPr>
    <w:rPr/>
  </w:style>
  <w:style w:type="paragraph" w:styleId="NormalWeb">
    <w:name w:val="Normal (Web)"/>
    <w:basedOn w:val="Normal"/>
    <w:qFormat/>
    <w:rsid w:val="004b5cf1"/>
    <w:pPr>
      <w:widowControl/>
      <w:suppressAutoHyphens w:val="false"/>
      <w:spacing w:lineRule="auto" w:line="240" w:before="100" w:after="100"/>
      <w:textAlignment w:val="auto"/>
    </w:pPr>
    <w:rPr>
      <w:rFonts w:eastAsia="Times New Roman" w:cs="Times New Roman"/>
      <w:kern w:val="0"/>
      <w:lang w:bidi="ar-SA"/>
    </w:rPr>
  </w:style>
  <w:style w:type="paragraph" w:styleId="Przypisdolny">
    <w:name w:val="Footnote Text"/>
    <w:basedOn w:val="Normal"/>
    <w:link w:val="TekstprzypisudolnegoZnak"/>
    <w:rsid w:val="004b5cf1"/>
    <w:pPr>
      <w:keepNext w:val="true"/>
      <w:widowControl/>
      <w:suppressAutoHyphens w:val="false"/>
      <w:spacing w:lineRule="atLeast" w:line="240"/>
      <w:textAlignment w:val="auto"/>
    </w:pPr>
    <w:rPr>
      <w:rFonts w:eastAsia="Times New Roman" w:cs="Times New Roman"/>
      <w:sz w:val="20"/>
      <w:szCs w:val="20"/>
      <w:lang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LibreOffice/6.4.6.2$Windows_X86_64 LibreOffice_project/0ce51a4fd21bff07a5c061082cc82c5ed232f115</Application>
  <Pages>4</Pages>
  <Words>1244</Words>
  <Characters>7958</Characters>
  <CharactersWithSpaces>8972</CharactersWithSpaces>
  <Paragraphs>258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2023-02-27T17:27:00Z</dcterms:created>
  <dc:creator>Żaneta Grygiel-Kaleta</dc:creator>
  <dc:description/>
  <dc:language>pl-PL</dc:language>
  <cp:lastModifiedBy/>
  <dcterms:modified xsi:type="dcterms:W3CDTF">2023-02-27T20:26:25Z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